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2C66" w14:textId="77777777" w:rsidR="006A0364" w:rsidRPr="00420D1F" w:rsidRDefault="006A0364" w:rsidP="006A0364">
      <w:pPr>
        <w:tabs>
          <w:tab w:val="left" w:pos="7655"/>
        </w:tabs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 wp14:anchorId="4F95ED8A" wp14:editId="45C6A983">
            <wp:extent cx="183832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E24E3" w14:textId="77777777" w:rsidR="006A0364" w:rsidRPr="00420D1F" w:rsidRDefault="006A0364" w:rsidP="006A0364">
      <w:pPr>
        <w:tabs>
          <w:tab w:val="left" w:pos="7655"/>
        </w:tabs>
        <w:rPr>
          <w:sz w:val="22"/>
          <w:szCs w:val="22"/>
        </w:rPr>
      </w:pPr>
    </w:p>
    <w:p w14:paraId="4C89FE84" w14:textId="77777777" w:rsidR="006A0364" w:rsidRPr="005F67D7" w:rsidRDefault="006A0364" w:rsidP="006A0364">
      <w:pPr>
        <w:rPr>
          <w:rFonts w:cs="Arial"/>
          <w:sz w:val="22"/>
          <w:szCs w:val="22"/>
          <w:lang w:val="en-US"/>
        </w:rPr>
      </w:pPr>
      <w:r w:rsidRPr="005F67D7">
        <w:rPr>
          <w:rFonts w:cs="Arial"/>
          <w:sz w:val="22"/>
          <w:szCs w:val="22"/>
          <w:lang w:val="en-US"/>
        </w:rPr>
        <w:t>PR</w:t>
      </w:r>
      <w:r w:rsidR="00B50C5A">
        <w:rPr>
          <w:rFonts w:cs="Arial"/>
          <w:sz w:val="22"/>
          <w:szCs w:val="22"/>
          <w:lang w:val="en-US"/>
        </w:rPr>
        <w:t>34</w:t>
      </w:r>
      <w:r w:rsidRPr="005F67D7">
        <w:rPr>
          <w:rFonts w:cs="Arial"/>
          <w:sz w:val="22"/>
          <w:szCs w:val="22"/>
          <w:lang w:val="en-US"/>
        </w:rPr>
        <w:t xml:space="preserve">/2019                                                                                                       </w:t>
      </w:r>
      <w:r>
        <w:rPr>
          <w:rFonts w:cs="Arial"/>
          <w:sz w:val="22"/>
          <w:szCs w:val="22"/>
          <w:lang w:val="en-US"/>
        </w:rPr>
        <w:t>21 May</w:t>
      </w:r>
      <w:r w:rsidRPr="005F67D7">
        <w:rPr>
          <w:rFonts w:cs="Arial"/>
          <w:sz w:val="22"/>
          <w:szCs w:val="22"/>
          <w:lang w:val="en-US"/>
        </w:rPr>
        <w:t xml:space="preserve"> 2019</w:t>
      </w:r>
    </w:p>
    <w:p w14:paraId="64F5F713" w14:textId="77777777" w:rsidR="00420303" w:rsidRDefault="00420303"/>
    <w:p w14:paraId="4B148E09" w14:textId="77777777" w:rsidR="006A0364" w:rsidRDefault="006A0364" w:rsidP="00C71C4B">
      <w:pPr>
        <w:rPr>
          <w:rFonts w:eastAsiaTheme="minorHAnsi" w:cs="Arial"/>
          <w:b/>
          <w:sz w:val="28"/>
          <w:szCs w:val="28"/>
          <w:lang w:eastAsia="en-US"/>
        </w:rPr>
      </w:pPr>
    </w:p>
    <w:p w14:paraId="6E99CBF4" w14:textId="77777777" w:rsidR="00C71C4B" w:rsidRDefault="006A0364" w:rsidP="00C71C4B">
      <w:pPr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6A0364">
        <w:rPr>
          <w:rFonts w:eastAsiaTheme="minorHAnsi" w:cs="Arial"/>
          <w:b/>
          <w:sz w:val="28"/>
          <w:szCs w:val="28"/>
          <w:lang w:eastAsia="en-US"/>
        </w:rPr>
        <w:t xml:space="preserve">Affinity Water </w:t>
      </w:r>
      <w:r w:rsidR="00C71C4B">
        <w:rPr>
          <w:rFonts w:eastAsiaTheme="minorHAnsi" w:cs="Arial"/>
          <w:b/>
          <w:sz w:val="28"/>
          <w:szCs w:val="28"/>
          <w:lang w:eastAsia="en-US"/>
        </w:rPr>
        <w:t>to demonstrate soil and</w:t>
      </w:r>
    </w:p>
    <w:p w14:paraId="1D3243EF" w14:textId="77777777" w:rsidR="006A0364" w:rsidRDefault="00C71C4B" w:rsidP="00C71C4B">
      <w:pPr>
        <w:jc w:val="center"/>
        <w:rPr>
          <w:rFonts w:eastAsiaTheme="minorHAnsi" w:cs="Arial"/>
          <w:b/>
          <w:sz w:val="28"/>
          <w:szCs w:val="28"/>
          <w:lang w:eastAsia="en-US"/>
        </w:rPr>
      </w:pPr>
      <w:r>
        <w:rPr>
          <w:rFonts w:eastAsiaTheme="minorHAnsi" w:cs="Arial"/>
          <w:b/>
          <w:sz w:val="28"/>
          <w:szCs w:val="28"/>
          <w:lang w:eastAsia="en-US"/>
        </w:rPr>
        <w:t xml:space="preserve"> water relationship </w:t>
      </w:r>
      <w:r w:rsidR="006A0364" w:rsidRPr="006A0364">
        <w:rPr>
          <w:rFonts w:eastAsiaTheme="minorHAnsi" w:cs="Arial"/>
          <w:b/>
          <w:sz w:val="28"/>
          <w:szCs w:val="28"/>
          <w:lang w:eastAsia="en-US"/>
        </w:rPr>
        <w:t>at Groundswell</w:t>
      </w:r>
    </w:p>
    <w:p w14:paraId="2C64D7B4" w14:textId="77777777" w:rsidR="006A0364" w:rsidRPr="006A0364" w:rsidRDefault="006A0364" w:rsidP="006A0364">
      <w:pPr>
        <w:jc w:val="center"/>
        <w:rPr>
          <w:rFonts w:eastAsiaTheme="minorHAnsi" w:cs="Arial"/>
          <w:b/>
          <w:sz w:val="28"/>
          <w:szCs w:val="28"/>
          <w:lang w:eastAsia="en-US"/>
        </w:rPr>
      </w:pPr>
    </w:p>
    <w:p w14:paraId="33B3F0DA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At this year’s</w:t>
      </w:r>
      <w:r>
        <w:rPr>
          <w:rFonts w:eastAsiaTheme="minorHAnsi" w:cs="Arial"/>
          <w:sz w:val="22"/>
          <w:szCs w:val="22"/>
          <w:lang w:eastAsia="en-US"/>
        </w:rPr>
        <w:t xml:space="preserve"> Groundswell, headline sponsor and the UK’s largest water only supply company, </w:t>
      </w:r>
      <w:r w:rsidRPr="006A0364">
        <w:rPr>
          <w:rFonts w:eastAsiaTheme="minorHAnsi" w:cs="Arial"/>
          <w:sz w:val="22"/>
          <w:szCs w:val="22"/>
          <w:lang w:eastAsia="en-US"/>
        </w:rPr>
        <w:t>Affinity Water is setting out to demonstrate the relationship between soil and water, with informative break-out sessions, a</w:t>
      </w:r>
      <w:r w:rsidR="00B50C5A">
        <w:rPr>
          <w:rFonts w:eastAsiaTheme="minorHAnsi" w:cs="Arial"/>
          <w:sz w:val="22"/>
          <w:szCs w:val="22"/>
          <w:lang w:eastAsia="en-US"/>
        </w:rPr>
        <w:t xml:space="preserve"> high tech</w:t>
      </w:r>
      <w:r w:rsidRPr="006A0364">
        <w:rPr>
          <w:rFonts w:eastAsiaTheme="minorHAnsi" w:cs="Arial"/>
          <w:sz w:val="22"/>
          <w:szCs w:val="22"/>
          <w:lang w:eastAsia="en-US"/>
        </w:rPr>
        <w:t xml:space="preserve"> ‘catchment</w:t>
      </w:r>
      <w:r w:rsidR="00A93A8B">
        <w:rPr>
          <w:rFonts w:eastAsiaTheme="minorHAnsi" w:cs="Arial"/>
          <w:sz w:val="22"/>
          <w:szCs w:val="22"/>
          <w:lang w:eastAsia="en-US"/>
        </w:rPr>
        <w:t xml:space="preserve"> augmented</w:t>
      </w:r>
      <w:r w:rsidRPr="006A0364">
        <w:rPr>
          <w:rFonts w:eastAsiaTheme="minorHAnsi" w:cs="Arial"/>
          <w:sz w:val="22"/>
          <w:szCs w:val="22"/>
          <w:lang w:eastAsia="en-US"/>
        </w:rPr>
        <w:t xml:space="preserve"> reality experience’, and BASIS points being offered on and around the Affinity Water Catchment Hub.</w:t>
      </w:r>
    </w:p>
    <w:p w14:paraId="192BBA95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 xml:space="preserve">The first of the break-out sessions will take place at 10.15am on day one of the event. Featuring a panel-led debate, the discussion will cover the role cover crops play in building soil health and providing wider ecosystem services, such as reducing nitrate leaching and sediment loss. </w:t>
      </w:r>
    </w:p>
    <w:p w14:paraId="3DA1A25F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The second learning session at 3:15pm on day two, will be led by Geodata experts Sophia Burke and Mark Mulligan, who will present their work on ‘</w:t>
      </w:r>
      <w:r w:rsidRPr="006A0364">
        <w:rPr>
          <w:rFonts w:eastAsiaTheme="minorHAnsi" w:cs="Arial"/>
          <w:color w:val="000000"/>
          <w:sz w:val="22"/>
          <w:szCs w:val="22"/>
          <w:lang w:eastAsia="en-US"/>
        </w:rPr>
        <w:t>Low cost, open-data and DIY approaches to assessing the public goods provided by your land’</w:t>
      </w:r>
      <w:r w:rsidRPr="006A0364">
        <w:rPr>
          <w:rFonts w:eastAsiaTheme="minorHAnsi" w:cs="Arial"/>
          <w:sz w:val="22"/>
          <w:szCs w:val="22"/>
          <w:lang w:eastAsia="en-US"/>
        </w:rPr>
        <w:t>.</w:t>
      </w:r>
    </w:p>
    <w:p w14:paraId="7CDEF1D9" w14:textId="6984B0EB" w:rsidR="00595BC7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 xml:space="preserve">Affinity Water will also host a rainfall simulator on both days, explained by Jay Fuhrer, which will visually display how soil health impacts run-off and infiltration. </w:t>
      </w:r>
      <w:r w:rsidR="00595BC7">
        <w:rPr>
          <w:rFonts w:eastAsiaTheme="minorHAnsi" w:cs="Arial"/>
          <w:sz w:val="22"/>
          <w:szCs w:val="22"/>
          <w:lang w:eastAsia="en-US"/>
        </w:rPr>
        <w:t>Delegates will also get the chance to step into the virtual world via an interactive tool dubbed ‘the catchment</w:t>
      </w:r>
      <w:r w:rsidR="00A93A8B">
        <w:rPr>
          <w:rFonts w:eastAsiaTheme="minorHAnsi" w:cs="Arial"/>
          <w:sz w:val="22"/>
          <w:szCs w:val="22"/>
          <w:lang w:eastAsia="en-US"/>
        </w:rPr>
        <w:t xml:space="preserve"> augmented</w:t>
      </w:r>
      <w:r w:rsidR="00595BC7">
        <w:rPr>
          <w:rFonts w:eastAsiaTheme="minorHAnsi" w:cs="Arial"/>
          <w:sz w:val="22"/>
          <w:szCs w:val="22"/>
          <w:lang w:eastAsia="en-US"/>
        </w:rPr>
        <w:t xml:space="preserve"> reality experience’ where they can explore in detail the link between land, rainfall and water flow.</w:t>
      </w:r>
    </w:p>
    <w:p w14:paraId="0FF0FBC9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 xml:space="preserve">Delegates are encouraged to come along to the stand to talk to the Affinity Water catchment team about soil health, water and ecosystem services, and to take part in a questionnaire to gain BASIS points. </w:t>
      </w:r>
    </w:p>
    <w:p w14:paraId="2AF7FB81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[Box out]</w:t>
      </w:r>
    </w:p>
    <w:p w14:paraId="06784129" w14:textId="77777777" w:rsidR="006A0364" w:rsidRPr="006A0364" w:rsidRDefault="006A0364" w:rsidP="006A0364">
      <w:p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Affinity Water at Groundswell</w:t>
      </w:r>
    </w:p>
    <w:p w14:paraId="4E686556" w14:textId="77777777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Stand FY1: Affinity Water Catchment Hub</w:t>
      </w:r>
    </w:p>
    <w:p w14:paraId="16046ADD" w14:textId="77777777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Cover crop panel debate – 10:15am on 26 June in conference barn</w:t>
      </w:r>
    </w:p>
    <w:p w14:paraId="428452DD" w14:textId="77777777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lastRenderedPageBreak/>
        <w:t>‘</w:t>
      </w:r>
      <w:r w:rsidRPr="006A0364">
        <w:rPr>
          <w:rFonts w:eastAsiaTheme="minorHAnsi" w:cs="Arial"/>
          <w:color w:val="000000"/>
          <w:sz w:val="22"/>
          <w:szCs w:val="22"/>
          <w:lang w:eastAsia="en-US"/>
        </w:rPr>
        <w:t>Low cost, open-data and DIY approaches to assessing the public goods provided by your land’</w:t>
      </w:r>
      <w:r w:rsidRPr="006A0364" w:rsidDel="00967D2E">
        <w:rPr>
          <w:rFonts w:eastAsiaTheme="minorHAnsi" w:cs="Arial"/>
          <w:sz w:val="22"/>
          <w:szCs w:val="22"/>
          <w:lang w:eastAsia="en-US"/>
        </w:rPr>
        <w:t xml:space="preserve"> </w:t>
      </w:r>
      <w:r w:rsidRPr="006A0364">
        <w:rPr>
          <w:rFonts w:eastAsiaTheme="minorHAnsi" w:cs="Arial"/>
          <w:sz w:val="22"/>
          <w:szCs w:val="22"/>
          <w:lang w:eastAsia="en-US"/>
        </w:rPr>
        <w:t>– 3:15pm 27 June in the conference barn, Sophia Burke and Mark Mulligan</w:t>
      </w:r>
    </w:p>
    <w:p w14:paraId="696BB310" w14:textId="77777777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Rainfall simulator with Jay Fuhrer – at the Affinity Water Catchment Hub</w:t>
      </w:r>
    </w:p>
    <w:p w14:paraId="63C1514A" w14:textId="775BBCFF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Catchment</w:t>
      </w:r>
      <w:r w:rsidR="00A93A8B">
        <w:rPr>
          <w:rFonts w:eastAsiaTheme="minorHAnsi" w:cs="Arial"/>
          <w:sz w:val="22"/>
          <w:szCs w:val="22"/>
          <w:lang w:eastAsia="en-US"/>
        </w:rPr>
        <w:t xml:space="preserve"> augmented</w:t>
      </w:r>
      <w:r w:rsidRPr="006A0364">
        <w:rPr>
          <w:rFonts w:eastAsiaTheme="minorHAnsi" w:cs="Arial"/>
          <w:sz w:val="22"/>
          <w:szCs w:val="22"/>
          <w:lang w:eastAsia="en-US"/>
        </w:rPr>
        <w:t xml:space="preserve"> reality experience – at the Affinity Water Catchment Hub</w:t>
      </w:r>
    </w:p>
    <w:p w14:paraId="0A5873FB" w14:textId="77777777" w:rsidR="006A0364" w:rsidRP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BASIS points</w:t>
      </w:r>
    </w:p>
    <w:p w14:paraId="7E660D77" w14:textId="77777777" w:rsidR="006A0364" w:rsidRDefault="006A0364" w:rsidP="006A0364">
      <w:pPr>
        <w:numPr>
          <w:ilvl w:val="0"/>
          <w:numId w:val="1"/>
        </w:numPr>
        <w:spacing w:after="120" w:line="360" w:lineRule="auto"/>
        <w:contextualSpacing/>
        <w:rPr>
          <w:rFonts w:eastAsiaTheme="minorHAnsi" w:cs="Arial"/>
          <w:sz w:val="22"/>
          <w:szCs w:val="22"/>
          <w:lang w:eastAsia="en-US"/>
        </w:rPr>
      </w:pPr>
      <w:r w:rsidRPr="006A0364">
        <w:rPr>
          <w:rFonts w:eastAsiaTheme="minorHAnsi" w:cs="Arial"/>
          <w:sz w:val="22"/>
          <w:szCs w:val="22"/>
          <w:lang w:eastAsia="en-US"/>
        </w:rPr>
        <w:t>Water station with free souvenir Groundswell re-usable water bottles</w:t>
      </w:r>
    </w:p>
    <w:p w14:paraId="2C1F91A8" w14:textId="77777777" w:rsidR="00C71C4B" w:rsidRPr="006A0364" w:rsidRDefault="00C71C4B" w:rsidP="00C71C4B">
      <w:pPr>
        <w:spacing w:after="120" w:line="360" w:lineRule="auto"/>
        <w:ind w:left="720"/>
        <w:contextualSpacing/>
        <w:rPr>
          <w:rFonts w:eastAsiaTheme="minorHAnsi" w:cs="Arial"/>
          <w:sz w:val="22"/>
          <w:szCs w:val="22"/>
          <w:lang w:eastAsia="en-US"/>
        </w:rPr>
      </w:pPr>
    </w:p>
    <w:p w14:paraId="5223A496" w14:textId="77777777" w:rsidR="006A0364" w:rsidRDefault="00C71C4B" w:rsidP="006A0364">
      <w:pPr>
        <w:spacing w:after="120" w:line="360" w:lineRule="auto"/>
        <w:jc w:val="center"/>
        <w:rPr>
          <w:rFonts w:eastAsiaTheme="minorHAnsi" w:cs="Arial"/>
          <w:b/>
          <w:i/>
          <w:sz w:val="22"/>
          <w:szCs w:val="22"/>
          <w:lang w:eastAsia="en-US"/>
        </w:rPr>
      </w:pPr>
      <w:r>
        <w:rPr>
          <w:rFonts w:eastAsiaTheme="minorHAnsi" w:cs="Arial"/>
          <w:b/>
          <w:i/>
          <w:sz w:val="22"/>
          <w:szCs w:val="22"/>
          <w:lang w:eastAsia="en-US"/>
        </w:rPr>
        <w:t>ENDS</w:t>
      </w:r>
    </w:p>
    <w:p w14:paraId="3C6DDE11" w14:textId="77777777" w:rsidR="00C71C4B" w:rsidRDefault="00C71C4B" w:rsidP="006A0364">
      <w:pPr>
        <w:spacing w:after="120" w:line="360" w:lineRule="auto"/>
        <w:jc w:val="center"/>
        <w:rPr>
          <w:rFonts w:eastAsiaTheme="minorHAnsi" w:cs="Arial"/>
          <w:b/>
          <w:i/>
          <w:sz w:val="22"/>
          <w:szCs w:val="22"/>
          <w:lang w:eastAsia="en-US"/>
        </w:rPr>
      </w:pPr>
    </w:p>
    <w:p w14:paraId="180D417C" w14:textId="77777777" w:rsidR="006A0364" w:rsidRDefault="006A0364">
      <w:bookmarkStart w:id="0" w:name="_GoBack"/>
      <w:bookmarkEnd w:id="0"/>
    </w:p>
    <w:sectPr w:rsidR="006A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D3E"/>
    <w:multiLevelType w:val="hybridMultilevel"/>
    <w:tmpl w:val="CABA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64"/>
    <w:rsid w:val="00420303"/>
    <w:rsid w:val="00425725"/>
    <w:rsid w:val="00537C96"/>
    <w:rsid w:val="00595BC7"/>
    <w:rsid w:val="006A0364"/>
    <w:rsid w:val="009B5867"/>
    <w:rsid w:val="00A91C51"/>
    <w:rsid w:val="00A93A8B"/>
    <w:rsid w:val="00B50C5A"/>
    <w:rsid w:val="00C160EC"/>
    <w:rsid w:val="00C71C4B"/>
    <w:rsid w:val="00D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FA8"/>
  <w15:chartTrackingRefBased/>
  <w15:docId w15:val="{911241E9-2EA5-4F86-BE18-3B2207B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Kevin</dc:creator>
  <cp:keywords/>
  <dc:description/>
  <cp:lastModifiedBy>Alexander Cherry</cp:lastModifiedBy>
  <cp:revision>2</cp:revision>
  <dcterms:created xsi:type="dcterms:W3CDTF">2019-05-28T18:19:00Z</dcterms:created>
  <dcterms:modified xsi:type="dcterms:W3CDTF">2019-05-28T18:19:00Z</dcterms:modified>
</cp:coreProperties>
</file>